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1366C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 учетной политике</w:t>
      </w:r>
    </w:p>
    <w:p w14:paraId="432F5470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 инвентаризационной комиссии</w:t>
      </w:r>
    </w:p>
    <w:p w14:paraId="78BA388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состав постоянно действующей инвентаризационной комиссии входят:</w:t>
      </w:r>
    </w:p>
    <w:p w14:paraId="63B77DAA">
      <w:pPr>
        <w:spacing w:line="240" w:lineRule="auto"/>
        <w:rPr>
          <w:rFonts w:hint="default"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– председатель комиссии – 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аведующий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сектором экономики и финансов</w:t>
      </w:r>
    </w:p>
    <w:p w14:paraId="4A48229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члены комиссии:</w:t>
      </w:r>
    </w:p>
    <w:p w14:paraId="2070AF8B">
      <w:pPr>
        <w:numPr>
          <w:numId w:val="0"/>
        </w:numPr>
        <w:spacing w:beforeAutospacing="1" w:afterAutospacing="1" w:line="240" w:lineRule="auto"/>
        <w:ind w:left="420" w:leftChars="0" w:right="180" w:rightChars="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p w14:paraId="3BA47FD4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специалист по земельным и имущественным отношениям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AF89531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специалист по ведению бухгалтерского учета;</w:t>
      </w:r>
    </w:p>
    <w:p w14:paraId="5653450D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int="default" w:hAnsi="Times New Roman" w:cs="Times New Roman"/>
          <w:color w:val="000000"/>
          <w:sz w:val="24"/>
          <w:szCs w:val="24"/>
          <w:lang w:val="ru-RU"/>
        </w:rPr>
        <w:t>Главный специалист по формированию и исполнению бюджета.</w:t>
      </w:r>
      <w:bookmarkStart w:id="0" w:name="_GoBack"/>
      <w:bookmarkEnd w:id="0"/>
    </w:p>
    <w:p w14:paraId="3436711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Свои функции комиссия выполняет в соответствии с Положением об инвентаризационной комиссии, также в соответствии с  Порядком и графиком проведения инвентаризации в учреждении.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C28B35"/>
    <w:multiLevelType w:val="multilevel"/>
    <w:tmpl w:val="74C28B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4C67345"/>
    <w:rsid w:val="0FEB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2026-03-10T06:23:16Z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286F17F041134349B0E14A179F45EBF2_13</vt:lpwstr>
  </property>
</Properties>
</file>